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3E" w:rsidRPr="001A653E" w:rsidRDefault="001A653E" w:rsidP="001A653E">
      <w:pPr>
        <w:autoSpaceDE w:val="0"/>
        <w:autoSpaceDN w:val="0"/>
        <w:adjustRightInd w:val="0"/>
        <w:spacing w:after="0" w:line="240" w:lineRule="auto"/>
        <w:jc w:val="center"/>
        <w:rPr>
          <w:rFonts w:ascii="Verdana" w:hAnsi="Verdana" w:cs="Arial"/>
        </w:rPr>
      </w:pPr>
      <w:bookmarkStart w:id="0" w:name="_GoBack"/>
      <w:bookmarkEnd w:id="0"/>
      <w:r w:rsidRPr="001A653E">
        <w:rPr>
          <w:rFonts w:ascii="Verdana" w:hAnsi="Verdana" w:cs="Arial"/>
        </w:rPr>
        <w:t>POLS 205</w:t>
      </w:r>
    </w:p>
    <w:p w:rsidR="001A653E" w:rsidRPr="001A653E" w:rsidRDefault="001A653E" w:rsidP="001A653E">
      <w:pPr>
        <w:pStyle w:val="ListParagraph"/>
        <w:autoSpaceDE w:val="0"/>
        <w:autoSpaceDN w:val="0"/>
        <w:adjustRightInd w:val="0"/>
        <w:spacing w:after="0" w:line="240" w:lineRule="auto"/>
        <w:jc w:val="center"/>
        <w:rPr>
          <w:rFonts w:ascii="Verdana" w:hAnsi="Verdana" w:cs="Arial"/>
        </w:rPr>
      </w:pPr>
      <w:r w:rsidRPr="001A653E">
        <w:rPr>
          <w:rFonts w:ascii="Verdana" w:hAnsi="Verdana" w:cs="Arial"/>
        </w:rPr>
        <w:t>American National Government</w:t>
      </w:r>
    </w:p>
    <w:p w:rsidR="001A653E" w:rsidRPr="001A653E" w:rsidRDefault="001A653E" w:rsidP="001A653E">
      <w:pPr>
        <w:pStyle w:val="ListParagraph"/>
        <w:autoSpaceDE w:val="0"/>
        <w:autoSpaceDN w:val="0"/>
        <w:adjustRightInd w:val="0"/>
        <w:spacing w:after="0" w:line="240" w:lineRule="auto"/>
        <w:jc w:val="center"/>
        <w:rPr>
          <w:rFonts w:ascii="Verdana" w:hAnsi="Verdana" w:cs="Verdana"/>
        </w:rPr>
      </w:pPr>
      <w:r w:rsidRPr="001A653E">
        <w:rPr>
          <w:rFonts w:ascii="Verdana" w:hAnsi="Verdana" w:cs="Verdana"/>
        </w:rPr>
        <w:t xml:space="preserve">Pressure Unit – </w:t>
      </w:r>
      <w:r w:rsidR="00B76628">
        <w:rPr>
          <w:rFonts w:ascii="Verdana" w:hAnsi="Verdana" w:cs="Verdana"/>
        </w:rPr>
        <w:t>Interest Groups and Campaign Finance</w:t>
      </w:r>
    </w:p>
    <w:p w:rsidR="001A653E" w:rsidRPr="001A653E" w:rsidRDefault="001A653E" w:rsidP="001A653E">
      <w:pPr>
        <w:autoSpaceDE w:val="0"/>
        <w:autoSpaceDN w:val="0"/>
        <w:adjustRightInd w:val="0"/>
        <w:spacing w:after="0" w:line="240" w:lineRule="auto"/>
        <w:rPr>
          <w:rFonts w:ascii="Verdana" w:hAnsi="Verdana" w:cs="Times New Roman"/>
          <w:bCs/>
        </w:rPr>
      </w:pPr>
    </w:p>
    <w:p w:rsidR="00200AB3" w:rsidRPr="001A653E" w:rsidRDefault="00200AB3" w:rsidP="001A653E">
      <w:pPr>
        <w:autoSpaceDE w:val="0"/>
        <w:autoSpaceDN w:val="0"/>
        <w:adjustRightInd w:val="0"/>
        <w:spacing w:after="0" w:line="240" w:lineRule="auto"/>
        <w:rPr>
          <w:rFonts w:ascii="Verdana" w:hAnsi="Verdana" w:cs="Times New Roman"/>
          <w:bCs/>
        </w:rPr>
      </w:pPr>
      <w:r w:rsidRPr="001A653E">
        <w:rPr>
          <w:rFonts w:ascii="Verdana" w:hAnsi="Verdana" w:cs="Times New Roman"/>
          <w:bCs/>
          <w:u w:val="single"/>
        </w:rPr>
        <w:t>Under Pressure!</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Interest Groups and Campaign Contributions</w:t>
      </w:r>
    </w:p>
    <w:p w:rsidR="001A653E" w:rsidRP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 xml:space="preserve">Alexis de Tocqueville (1805–59) </w:t>
      </w: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 xml:space="preserve">Americans combine to give fêtes, found seminaries, build churches, distribute books, and send missionaries to the antipodes. Hospitals, prisons, and schools take shape in that way. Finally, if they want to proclaim a truth or propagate some feeling by the encouragement of a great example, </w:t>
      </w:r>
      <w:r w:rsidRPr="001A653E">
        <w:rPr>
          <w:rFonts w:ascii="Verdana" w:hAnsi="Verdana" w:cs="Times New Roman"/>
          <w:bCs/>
          <w:u w:val="single"/>
        </w:rPr>
        <w:t>they form an association</w:t>
      </w:r>
      <w:r w:rsidRPr="001A653E">
        <w:rPr>
          <w:rFonts w:ascii="Verdana" w:hAnsi="Verdana" w:cs="Times New Roman"/>
          <w:bCs/>
        </w:rPr>
        <w:t xml:space="preserve">. In every case, at the head of any new undertaking, where in France you would find the government or in England some territorial magnate, in the United States you are sure to find an association. I have come across several types of association in America of which, I confess, I had not previously the slightest conception, and I have often admired the extreme skill they show in proposing a common object for the exertions of very many and in inducing them voluntarily to pursue it. </w:t>
      </w:r>
    </w:p>
    <w:p w:rsidR="001A653E" w:rsidRDefault="001A653E" w:rsidP="001A653E">
      <w:pPr>
        <w:autoSpaceDE w:val="0"/>
        <w:autoSpaceDN w:val="0"/>
        <w:adjustRightInd w:val="0"/>
        <w:spacing w:after="0" w:line="240" w:lineRule="auto"/>
        <w:rPr>
          <w:rFonts w:ascii="Verdana" w:hAnsi="Verdana" w:cs="Times New Roman"/>
          <w:bCs/>
        </w:rPr>
      </w:pPr>
    </w:p>
    <w:p w:rsidR="00200AB3" w:rsidRPr="001A653E" w:rsidRDefault="001A653E" w:rsidP="001A653E">
      <w:pPr>
        <w:autoSpaceDE w:val="0"/>
        <w:autoSpaceDN w:val="0"/>
        <w:adjustRightInd w:val="0"/>
        <w:spacing w:after="0" w:line="240" w:lineRule="auto"/>
        <w:rPr>
          <w:rFonts w:ascii="Verdana" w:hAnsi="Verdana" w:cs="Times New Roman"/>
          <w:u w:val="single"/>
        </w:rPr>
      </w:pPr>
      <w:r w:rsidRPr="001A653E">
        <w:rPr>
          <w:rFonts w:ascii="Verdana" w:hAnsi="Verdana" w:cs="Times New Roman"/>
          <w:bCs/>
          <w:u w:val="single"/>
        </w:rPr>
        <w:t>Interest Groups</w:t>
      </w:r>
    </w:p>
    <w:p w:rsidR="00200AB3" w:rsidRPr="001A653E" w:rsidRDefault="00200AB3" w:rsidP="00200AB3">
      <w:pPr>
        <w:autoSpaceDE w:val="0"/>
        <w:autoSpaceDN w:val="0"/>
        <w:adjustRightInd w:val="0"/>
        <w:spacing w:after="0" w:line="240" w:lineRule="auto"/>
        <w:ind w:left="1170" w:hanging="450"/>
        <w:rPr>
          <w:rFonts w:ascii="Verdana" w:hAnsi="Verdana" w:cs="Times New Roman"/>
          <w:bCs/>
        </w:rPr>
      </w:pPr>
      <w:r w:rsidRPr="001A653E">
        <w:rPr>
          <w:rFonts w:ascii="Verdana" w:hAnsi="Verdana" w:cs="Times New Roman"/>
          <w:bCs/>
        </w:rPr>
        <w:t>Link people to government by organizing those with similar viewpoints on a specific policy area and presenting these views to (not necessarily elected) government officials.</w:t>
      </w:r>
    </w:p>
    <w:p w:rsidR="00200AB3" w:rsidRPr="001A653E" w:rsidRDefault="00200AB3" w:rsidP="00200AB3">
      <w:pPr>
        <w:autoSpaceDE w:val="0"/>
        <w:autoSpaceDN w:val="0"/>
        <w:adjustRightInd w:val="0"/>
        <w:spacing w:after="0" w:line="240" w:lineRule="auto"/>
        <w:ind w:left="1170" w:hanging="450"/>
        <w:rPr>
          <w:rFonts w:ascii="Verdana" w:hAnsi="Verdana" w:cs="Times New Roman"/>
          <w:bCs/>
        </w:rPr>
      </w:pPr>
    </w:p>
    <w:p w:rsidR="00200AB3" w:rsidRPr="001A653E" w:rsidRDefault="00200AB3" w:rsidP="00200AB3">
      <w:pPr>
        <w:autoSpaceDE w:val="0"/>
        <w:autoSpaceDN w:val="0"/>
        <w:adjustRightInd w:val="0"/>
        <w:spacing w:after="0" w:line="240" w:lineRule="auto"/>
        <w:ind w:left="1170" w:hanging="450"/>
        <w:rPr>
          <w:rFonts w:ascii="Verdana" w:hAnsi="Verdana" w:cs="Times New Roman"/>
          <w:bCs/>
        </w:rPr>
      </w:pPr>
      <w:r w:rsidRPr="001A653E">
        <w:rPr>
          <w:rFonts w:ascii="Verdana" w:hAnsi="Verdana" w:cs="Times New Roman"/>
          <w:bCs/>
        </w:rPr>
        <w:t xml:space="preserve">The incredible diversity of American life is reflected in the vast array of </w:t>
      </w:r>
      <w:r w:rsidRPr="001A653E">
        <w:rPr>
          <w:rFonts w:ascii="Verdana" w:hAnsi="Verdana" w:cs="Times New Roman"/>
          <w:bCs/>
          <w:u w:val="single"/>
        </w:rPr>
        <w:t>Interest Groups</w:t>
      </w:r>
      <w:r w:rsidRPr="001A653E">
        <w:rPr>
          <w:rFonts w:ascii="Verdana" w:hAnsi="Verdana" w:cs="Times New Roman"/>
          <w:bCs/>
        </w:rPr>
        <w:t xml:space="preserve"> seeking to influence our political process!</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Freedom of Association</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With a Nic-Nac, Paddy PAC, give a Pol a Bone…</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Trade Unions</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The NEA</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http://www.nea.org/</w:t>
      </w:r>
      <w:r w:rsidRPr="001A653E">
        <w:rPr>
          <w:rFonts w:ascii="Verdana" w:hAnsi="Verdana" w:cs="Times New Roman"/>
        </w:rPr>
        <w:t xml:space="preserve">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bCs/>
          <w:i/>
          <w:iCs/>
        </w:rPr>
        <w:t>The National Education Association is the nation’s largest professional employee organization, representing more than 3.2 million elementary and secondary teachers, higher education faculty, education support personnel, school administrators, retired educators, and students preparing to become teachers</w:t>
      </w:r>
      <w:r w:rsidRPr="001A653E">
        <w:rPr>
          <w:rFonts w:ascii="Verdana" w:hAnsi="Verdana" w:cs="Times New Roman"/>
          <w:i/>
          <w:iCs/>
        </w:rPr>
        <w:t>.</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United Automobile Workers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Members of the Tennessee UAW visited with Rep. Ford during their annual legislative conference where legislative issues relating to foreign trade and union rights were a top priority.</w:t>
      </w:r>
    </w:p>
    <w:p w:rsidR="001A653E" w:rsidRDefault="001A653E" w:rsidP="001A653E">
      <w:pPr>
        <w:autoSpaceDE w:val="0"/>
        <w:autoSpaceDN w:val="0"/>
        <w:adjustRightInd w:val="0"/>
        <w:spacing w:after="0" w:line="240" w:lineRule="auto"/>
        <w:ind w:left="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AFL/CIO</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http://www.aflcio.org/</w:t>
      </w:r>
    </w:p>
    <w:p w:rsidR="00200AB3" w:rsidRPr="001A653E" w:rsidRDefault="00200AB3" w:rsidP="001A653E">
      <w:pPr>
        <w:autoSpaceDE w:val="0"/>
        <w:autoSpaceDN w:val="0"/>
        <w:adjustRightInd w:val="0"/>
        <w:spacing w:after="0" w:line="240" w:lineRule="auto"/>
        <w:ind w:firstLine="540"/>
        <w:rPr>
          <w:rFonts w:ascii="Verdana" w:hAnsi="Verdana" w:cs="Times New Roman"/>
        </w:rPr>
      </w:pPr>
      <w:r w:rsidRPr="001A653E">
        <w:rPr>
          <w:rFonts w:ascii="Verdana" w:hAnsi="Verdana" w:cs="Times New Roman"/>
          <w:u w:val="single"/>
        </w:rPr>
        <w:t>http://www.aflcio.org/joinaunion/voiceatwork/efca/</w:t>
      </w:r>
      <w:r w:rsidRPr="001A653E">
        <w:rPr>
          <w:rFonts w:ascii="Verdana" w:hAnsi="Verdana" w:cs="Times New Roman"/>
        </w:rPr>
        <w:t xml:space="preserve">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Tell Congress…</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Professional Associations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The American Medical Association</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The American Bar Association</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The National Association of Realtors</w:t>
      </w:r>
    </w:p>
    <w:p w:rsid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The American Society for Public Administration</w:t>
      </w: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lastRenderedPageBreak/>
        <w:t>Environmentalists</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Business Groups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http://www.nam.org/s_nam/index.asp</w:t>
      </w:r>
      <w:r w:rsidRPr="001A653E">
        <w:rPr>
          <w:rFonts w:ascii="Verdana" w:hAnsi="Verdana" w:cs="Times New Roman"/>
        </w:rPr>
        <w:t xml:space="preserve"> </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Trade or Industry Groups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http://www.cement.org/</w:t>
      </w:r>
      <w:r w:rsidRPr="001A653E">
        <w:rPr>
          <w:rFonts w:ascii="Verdana" w:hAnsi="Verdana" w:cs="Times New Roman"/>
        </w:rPr>
        <w:t xml:space="preserve"> </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http://www.npga.org/i4a/pages/index.cfm?pageid=1720</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Agriculture</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http://www.fb.org/</w:t>
      </w:r>
      <w:r w:rsidRPr="001A653E">
        <w:rPr>
          <w:rFonts w:ascii="Verdana" w:hAnsi="Verdana" w:cs="Times New Roman"/>
        </w:rPr>
        <w:t xml:space="preserve"> </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Ethnic Lobbies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http://www.naacp.org/</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http://lulac.org/</w:t>
      </w:r>
      <w:r w:rsidRPr="001A653E">
        <w:rPr>
          <w:rFonts w:ascii="Verdana" w:hAnsi="Verdana" w:cs="Times New Roman"/>
        </w:rPr>
        <w:t xml:space="preserve"> </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Good Government Groups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http://www.commoncause.org/site/pp.asp?c=dkLNK1MQIwG&amp;b=186966</w:t>
      </w:r>
      <w:r w:rsidRPr="001A653E">
        <w:rPr>
          <w:rFonts w:ascii="Verdana" w:hAnsi="Verdana" w:cs="Times New Roman"/>
        </w:rPr>
        <w:t xml:space="preserve"> </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Religious Associations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http://www.cc.org/</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http://www.sclcnational.org/</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http://www.ncccusa.org/</w:t>
      </w:r>
      <w:r w:rsidRPr="001A653E">
        <w:rPr>
          <w:rFonts w:ascii="Verdana" w:hAnsi="Verdana" w:cs="Times New Roman"/>
        </w:rPr>
        <w:t xml:space="preserve"> </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One of these things is NOT like the other….</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http://www.citizenlink.com/</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Why not?  Tax exemptions and FEC rules.</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Specialty Interests</w:t>
      </w:r>
    </w:p>
    <w:p w:rsidR="00200AB3"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Got Milk?</w:t>
      </w:r>
    </w:p>
    <w:p w:rsidR="001A653E" w:rsidRDefault="001A653E" w:rsidP="001A653E">
      <w:pPr>
        <w:autoSpaceDE w:val="0"/>
        <w:autoSpaceDN w:val="0"/>
        <w:adjustRightInd w:val="0"/>
        <w:spacing w:after="0" w:line="240" w:lineRule="auto"/>
        <w:rPr>
          <w:rFonts w:ascii="Verdana" w:hAnsi="Verdana" w:cs="Times New Roman"/>
        </w:rPr>
      </w:pPr>
    </w:p>
    <w:p w:rsidR="001A653E" w:rsidRPr="001A653E" w:rsidRDefault="001A653E" w:rsidP="001A653E">
      <w:pPr>
        <w:autoSpaceDE w:val="0"/>
        <w:autoSpaceDN w:val="0"/>
        <w:adjustRightInd w:val="0"/>
        <w:spacing w:after="0" w:line="240" w:lineRule="auto"/>
        <w:rPr>
          <w:rFonts w:ascii="Verdana" w:hAnsi="Verdana" w:cs="Times New Roman"/>
          <w:u w:val="single"/>
        </w:rPr>
      </w:pPr>
      <w:r w:rsidRPr="001A653E">
        <w:rPr>
          <w:rFonts w:ascii="Verdana" w:hAnsi="Verdana" w:cs="Times New Roman"/>
          <w:u w:val="single"/>
        </w:rPr>
        <w:t>Campaign Contributions</w:t>
      </w:r>
    </w:p>
    <w:p w:rsidR="001A653E" w:rsidRDefault="001A653E" w:rsidP="001A653E">
      <w:pPr>
        <w:autoSpaceDE w:val="0"/>
        <w:autoSpaceDN w:val="0"/>
        <w:adjustRightInd w:val="0"/>
        <w:spacing w:after="0" w:line="240" w:lineRule="auto"/>
        <w:rPr>
          <w:rFonts w:ascii="Verdana" w:hAnsi="Verdana" w:cs="Times New Roman"/>
          <w:bCs/>
        </w:rPr>
      </w:pPr>
    </w:p>
    <w:p w:rsidR="00200AB3" w:rsidRPr="001A653E" w:rsidRDefault="00200AB3" w:rsidP="001A653E">
      <w:pPr>
        <w:autoSpaceDE w:val="0"/>
        <w:autoSpaceDN w:val="0"/>
        <w:adjustRightInd w:val="0"/>
        <w:spacing w:after="0" w:line="240" w:lineRule="auto"/>
        <w:rPr>
          <w:rFonts w:ascii="Verdana" w:hAnsi="Verdana" w:cs="Times New Roman"/>
          <w:bCs/>
        </w:rPr>
      </w:pPr>
      <w:r w:rsidRPr="001A653E">
        <w:rPr>
          <w:rFonts w:ascii="Verdana" w:hAnsi="Verdana" w:cs="Times New Roman"/>
          <w:bCs/>
        </w:rPr>
        <w:t>Interest Groups</w:t>
      </w:r>
    </w:p>
    <w:p w:rsidR="00200AB3" w:rsidRPr="001A653E" w:rsidRDefault="00200AB3" w:rsidP="00200AB3">
      <w:pPr>
        <w:autoSpaceDE w:val="0"/>
        <w:autoSpaceDN w:val="0"/>
        <w:adjustRightInd w:val="0"/>
        <w:spacing w:after="0" w:line="240" w:lineRule="auto"/>
        <w:ind w:left="1170" w:hanging="450"/>
        <w:rPr>
          <w:rFonts w:ascii="Verdana" w:hAnsi="Verdana" w:cs="Times New Roman"/>
          <w:bCs/>
        </w:rPr>
      </w:pPr>
      <w:r w:rsidRPr="001A653E">
        <w:rPr>
          <w:rFonts w:ascii="Verdana" w:hAnsi="Verdana" w:cs="Times New Roman"/>
          <w:bCs/>
        </w:rPr>
        <w:t>Link people to government by organizing those with similar viewpoints on a specific policy area and presenting these views to (not necessarily elected) government officials.</w:t>
      </w: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Money is the Mother’s Milk of Politics, thus…</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Interest groups contribute money to help get candidates elected who support their issues.</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Money Makes the World Go Around…</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Bribes vs Contributions: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None of this is paid directly to the candidates.  (That would land you in jail)</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None of this is meant to be a straight trade for votes; no </w:t>
      </w:r>
      <w:r w:rsidRPr="001A653E">
        <w:rPr>
          <w:rFonts w:ascii="Verdana" w:hAnsi="Verdana" w:cs="Times New Roman"/>
          <w:i/>
          <w:iCs/>
        </w:rPr>
        <w:t>quid pro quo</w:t>
      </w:r>
      <w:r w:rsidRPr="001A653E">
        <w:rPr>
          <w:rFonts w:ascii="Verdana" w:hAnsi="Verdana" w:cs="Times New Roman"/>
        </w:rPr>
        <w:t>.  (That would get you censured)</w:t>
      </w:r>
    </w:p>
    <w:p w:rsidR="001A653E" w:rsidRDefault="001A653E" w:rsidP="001A653E">
      <w:pPr>
        <w:autoSpaceDE w:val="0"/>
        <w:autoSpaceDN w:val="0"/>
        <w:adjustRightInd w:val="0"/>
        <w:spacing w:after="0" w:line="240" w:lineRule="auto"/>
        <w:ind w:left="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Campaign Contributions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Party Contributions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Political Action Committees</w:t>
      </w:r>
    </w:p>
    <w:p w:rsidR="00200AB3" w:rsidRPr="001A653E" w:rsidRDefault="00200AB3" w:rsidP="001A653E">
      <w:pPr>
        <w:autoSpaceDE w:val="0"/>
        <w:autoSpaceDN w:val="0"/>
        <w:adjustRightInd w:val="0"/>
        <w:spacing w:after="0" w:line="240" w:lineRule="auto"/>
        <w:ind w:left="1170"/>
        <w:rPr>
          <w:rFonts w:ascii="Verdana" w:hAnsi="Verdana" w:cs="Times New Roman"/>
          <w:bCs/>
        </w:rPr>
      </w:pPr>
      <w:r w:rsidRPr="001A653E">
        <w:rPr>
          <w:rFonts w:ascii="Verdana" w:hAnsi="Verdana" w:cs="Times New Roman"/>
          <w:bCs/>
        </w:rPr>
        <w:t>Organizations set up to influence the political process by raising funds from their members and funneling that money to candidates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bCs/>
        </w:rPr>
        <w:t xml:space="preserve">But there are </w:t>
      </w:r>
      <w:r w:rsidRPr="001A653E">
        <w:rPr>
          <w:rFonts w:ascii="Verdana" w:hAnsi="Verdana" w:cs="Times New Roman"/>
          <w:bCs/>
          <w:u w:val="single"/>
        </w:rPr>
        <w:t>RULES</w:t>
      </w: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lastRenderedPageBreak/>
        <w:t>PACS-Who Are the Big Guns?</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Who would you guess is the biggest PAC?</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http://www.opensecrets.org/pacs/toppacs.php?Type=C&amp;cycle=2010</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 xml:space="preserve">Note: </w:t>
      </w:r>
      <w:r w:rsidR="00CC1ADC">
        <w:rPr>
          <w:rFonts w:ascii="Verdana" w:hAnsi="Verdana" w:cs="Times New Roman"/>
          <w:bCs/>
        </w:rPr>
        <w:t>How many at the top</w:t>
      </w:r>
      <w:r w:rsidRPr="001A653E">
        <w:rPr>
          <w:rFonts w:ascii="Verdana" w:hAnsi="Verdana" w:cs="Times New Roman"/>
          <w:bCs/>
        </w:rPr>
        <w:t xml:space="preserve"> are unions!</w:t>
      </w: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Also note the changes from 2008 to 2010.</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Leadership PAC’s</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Ways for politicians to collect, bundle and funnel campaign contributions to other politicians.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Allows them to make money and make friends.</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Harry Reid’s Page</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http://www.giveemhellharry.com/</w:t>
      </w:r>
      <w:r w:rsidRPr="001A653E">
        <w:rPr>
          <w:rFonts w:ascii="Verdana" w:hAnsi="Verdana" w:cs="Times New Roman"/>
        </w:rPr>
        <w:t xml:space="preserve">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http://www.opensecrets.org/pacs/industry.php?txt=Q03&amp;cycle=2010</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And Then the World Exploded!</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Introducing… The SUPERPAC</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(or independent expenditure-only committees)</w:t>
      </w:r>
    </w:p>
    <w:p w:rsidR="001A653E" w:rsidRDefault="001A653E" w:rsidP="001A653E">
      <w:pPr>
        <w:autoSpaceDE w:val="0"/>
        <w:autoSpaceDN w:val="0"/>
        <w:adjustRightInd w:val="0"/>
        <w:spacing w:after="0" w:line="240" w:lineRule="auto"/>
        <w:ind w:left="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Brought to you via </w:t>
      </w:r>
    </w:p>
    <w:p w:rsidR="00200AB3" w:rsidRPr="001A653E" w:rsidRDefault="00200AB3" w:rsidP="00B72A37">
      <w:pPr>
        <w:autoSpaceDE w:val="0"/>
        <w:autoSpaceDN w:val="0"/>
        <w:adjustRightInd w:val="0"/>
        <w:spacing w:after="0" w:line="240" w:lineRule="auto"/>
        <w:ind w:left="1170"/>
        <w:rPr>
          <w:rFonts w:ascii="Verdana" w:hAnsi="Verdana" w:cs="Times New Roman"/>
        </w:rPr>
      </w:pPr>
      <w:r w:rsidRPr="001A653E">
        <w:rPr>
          <w:rFonts w:ascii="Verdana" w:hAnsi="Verdana" w:cs="Times New Roman"/>
        </w:rPr>
        <w:t>Citizen’s United vs the FEC (2010) Supremes</w:t>
      </w:r>
    </w:p>
    <w:p w:rsidR="00200AB3" w:rsidRPr="001A653E" w:rsidRDefault="00200AB3" w:rsidP="00B72A37">
      <w:pPr>
        <w:autoSpaceDE w:val="0"/>
        <w:autoSpaceDN w:val="0"/>
        <w:adjustRightInd w:val="0"/>
        <w:spacing w:after="0" w:line="240" w:lineRule="auto"/>
        <w:ind w:left="1170"/>
        <w:rPr>
          <w:rFonts w:ascii="Verdana" w:hAnsi="Verdana" w:cs="Times New Roman"/>
        </w:rPr>
      </w:pPr>
      <w:r w:rsidRPr="001A653E">
        <w:rPr>
          <w:rFonts w:ascii="Verdana" w:hAnsi="Verdana" w:cs="Times New Roman"/>
        </w:rPr>
        <w:t>SpeechNow.org vs the FEC (2010) DC Circuit</w:t>
      </w:r>
    </w:p>
    <w:p w:rsidR="00200AB3" w:rsidRPr="001A653E" w:rsidRDefault="00200AB3" w:rsidP="00200AB3">
      <w:pPr>
        <w:autoSpaceDE w:val="0"/>
        <w:autoSpaceDN w:val="0"/>
        <w:adjustRightInd w:val="0"/>
        <w:spacing w:after="0" w:line="240" w:lineRule="auto"/>
        <w:ind w:left="1170" w:hanging="450"/>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And When I Say Exploded, I Mean BOOOOM!</w:t>
      </w: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As of February 26, 2012,   342 groups organized as Super PACs have reported total receipts of $130,334,342 and total independent expenditures of $61,418,349 in the 2012 cycle.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bCs/>
        </w:rPr>
        <w:t>(That’s mostly the Republican Presidential Primary. Just you wait until the fall!)</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 xml:space="preserve">Super PACs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Unlimited contributions from </w:t>
      </w:r>
    </w:p>
    <w:p w:rsidR="00200AB3" w:rsidRPr="001A653E" w:rsidRDefault="00200AB3" w:rsidP="001A653E">
      <w:pPr>
        <w:autoSpaceDE w:val="0"/>
        <w:autoSpaceDN w:val="0"/>
        <w:adjustRightInd w:val="0"/>
        <w:spacing w:after="0" w:line="240" w:lineRule="auto"/>
        <w:ind w:left="1170"/>
        <w:rPr>
          <w:rFonts w:ascii="Verdana" w:hAnsi="Verdana" w:cs="Times New Roman"/>
        </w:rPr>
      </w:pPr>
      <w:r w:rsidRPr="001A653E">
        <w:rPr>
          <w:rFonts w:ascii="Verdana" w:hAnsi="Verdana" w:cs="Times New Roman"/>
        </w:rPr>
        <w:t>corporations,</w:t>
      </w:r>
    </w:p>
    <w:p w:rsidR="00200AB3" w:rsidRPr="001A653E" w:rsidRDefault="00200AB3" w:rsidP="001A653E">
      <w:pPr>
        <w:autoSpaceDE w:val="0"/>
        <w:autoSpaceDN w:val="0"/>
        <w:adjustRightInd w:val="0"/>
        <w:spacing w:after="0" w:line="240" w:lineRule="auto"/>
        <w:ind w:left="1170"/>
        <w:rPr>
          <w:rFonts w:ascii="Verdana" w:hAnsi="Verdana" w:cs="Times New Roman"/>
        </w:rPr>
      </w:pPr>
      <w:r w:rsidRPr="001A653E">
        <w:rPr>
          <w:rFonts w:ascii="Verdana" w:hAnsi="Verdana" w:cs="Times New Roman"/>
        </w:rPr>
        <w:t>unions</w:t>
      </w:r>
    </w:p>
    <w:p w:rsidR="00200AB3" w:rsidRPr="001A653E" w:rsidRDefault="00200AB3" w:rsidP="001A653E">
      <w:pPr>
        <w:autoSpaceDE w:val="0"/>
        <w:autoSpaceDN w:val="0"/>
        <w:adjustRightInd w:val="0"/>
        <w:spacing w:after="0" w:line="240" w:lineRule="auto"/>
        <w:ind w:left="1170"/>
        <w:rPr>
          <w:rFonts w:ascii="Verdana" w:hAnsi="Verdana" w:cs="Times New Roman"/>
        </w:rPr>
      </w:pPr>
      <w:r w:rsidRPr="001A653E">
        <w:rPr>
          <w:rFonts w:ascii="Verdana" w:hAnsi="Verdana" w:cs="Times New Roman"/>
        </w:rPr>
        <w:t xml:space="preserve">associations and </w:t>
      </w:r>
    </w:p>
    <w:p w:rsidR="00200AB3" w:rsidRPr="001A653E" w:rsidRDefault="00200AB3" w:rsidP="001A653E">
      <w:pPr>
        <w:autoSpaceDE w:val="0"/>
        <w:autoSpaceDN w:val="0"/>
        <w:adjustRightInd w:val="0"/>
        <w:spacing w:after="0" w:line="240" w:lineRule="auto"/>
        <w:ind w:left="1170"/>
        <w:rPr>
          <w:rFonts w:ascii="Verdana" w:hAnsi="Verdana" w:cs="Times New Roman"/>
        </w:rPr>
      </w:pPr>
      <w:r w:rsidRPr="001A653E">
        <w:rPr>
          <w:rFonts w:ascii="Verdana" w:hAnsi="Verdana" w:cs="Times New Roman"/>
        </w:rPr>
        <w:t xml:space="preserve">individuals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Unlimited expenditures </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May advocate for or against political candidates.</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Report donors to the Federal Election Commission on a monthly or quarterly basis -- the Super PAC's choice -- as a traditional PAC would.</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Unlike traditional PACs, Super PACs are prohibited from donating money directly to political candidates</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Key words: no </w:t>
      </w:r>
      <w:r w:rsidRPr="001A653E">
        <w:rPr>
          <w:rFonts w:ascii="Verdana" w:hAnsi="Verdana" w:cs="Times New Roman"/>
          <w:u w:val="single"/>
        </w:rPr>
        <w:t>official</w:t>
      </w:r>
      <w:r w:rsidRPr="001A653E">
        <w:rPr>
          <w:rFonts w:ascii="Verdana" w:hAnsi="Verdana" w:cs="Times New Roman"/>
        </w:rPr>
        <w:t xml:space="preserve"> or </w:t>
      </w:r>
      <w:r w:rsidRPr="001A653E">
        <w:rPr>
          <w:rFonts w:ascii="Verdana" w:hAnsi="Verdana" w:cs="Times New Roman"/>
          <w:u w:val="single"/>
        </w:rPr>
        <w:t xml:space="preserve"> direct</w:t>
      </w:r>
      <w:r w:rsidRPr="001A653E">
        <w:rPr>
          <w:rFonts w:ascii="Verdana" w:hAnsi="Verdana" w:cs="Times New Roman"/>
        </w:rPr>
        <w:t xml:space="preserve"> contact</w:t>
      </w:r>
      <w:r w:rsidR="00CC1ADC">
        <w:rPr>
          <w:rFonts w:ascii="Verdana" w:hAnsi="Verdana" w:cs="Times New Roman"/>
        </w:rPr>
        <w:t xml:space="preserve"> with the candidate.</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(From Open Secrets.org)</w:t>
      </w:r>
    </w:p>
    <w:p w:rsidR="00B72A37" w:rsidRDefault="00B72A37" w:rsidP="00B72A37">
      <w:pPr>
        <w:autoSpaceDE w:val="0"/>
        <w:autoSpaceDN w:val="0"/>
        <w:adjustRightInd w:val="0"/>
        <w:spacing w:after="0" w:line="240" w:lineRule="auto"/>
        <w:rPr>
          <w:rFonts w:ascii="Verdana" w:hAnsi="Verdana" w:cs="Times New Roman"/>
        </w:rPr>
      </w:pPr>
    </w:p>
    <w:p w:rsidR="00200AB3" w:rsidRPr="001A653E" w:rsidRDefault="00200AB3" w:rsidP="00B72A37">
      <w:pPr>
        <w:autoSpaceDE w:val="0"/>
        <w:autoSpaceDN w:val="0"/>
        <w:adjustRightInd w:val="0"/>
        <w:spacing w:after="0" w:line="240" w:lineRule="auto"/>
        <w:rPr>
          <w:rFonts w:ascii="Verdana" w:hAnsi="Verdana" w:cs="Times New Roman"/>
        </w:rPr>
      </w:pPr>
      <w:r w:rsidRPr="001A653E">
        <w:rPr>
          <w:rFonts w:ascii="Verdana" w:hAnsi="Verdana" w:cs="Times New Roman"/>
        </w:rPr>
        <w:t>A Bridge Too Far?</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Interest groups have been called a bridge over which people and players can reach the political game.</w:t>
      </w:r>
    </w:p>
    <w:p w:rsidR="00200AB3" w:rsidRPr="001A653E" w:rsidRDefault="00200AB3" w:rsidP="00B72A37">
      <w:pPr>
        <w:autoSpaceDE w:val="0"/>
        <w:autoSpaceDN w:val="0"/>
        <w:adjustRightInd w:val="0"/>
        <w:spacing w:after="0" w:line="240" w:lineRule="auto"/>
        <w:rPr>
          <w:rFonts w:ascii="Verdana" w:hAnsi="Verdana" w:cs="Times New Roman"/>
        </w:rPr>
      </w:pPr>
      <w:r w:rsidRPr="001A653E">
        <w:rPr>
          <w:rFonts w:ascii="Verdana" w:hAnsi="Verdana" w:cs="Times New Roman"/>
        </w:rPr>
        <w:t>Describe the bridge.</w:t>
      </w:r>
      <w:r w:rsidR="00B72A37">
        <w:rPr>
          <w:rFonts w:ascii="Verdana" w:hAnsi="Verdana" w:cs="Times New Roman"/>
        </w:rPr>
        <w:tab/>
      </w:r>
      <w:r w:rsidR="00B72A37">
        <w:rPr>
          <w:rFonts w:ascii="Verdana" w:hAnsi="Verdana" w:cs="Times New Roman"/>
        </w:rPr>
        <w:tab/>
      </w:r>
      <w:r w:rsidRPr="001A653E">
        <w:rPr>
          <w:rFonts w:ascii="Verdana" w:hAnsi="Verdana" w:cs="Times New Roman"/>
        </w:rPr>
        <w:t xml:space="preserve">A toll bridge </w:t>
      </w:r>
    </w:p>
    <w:p w:rsidR="00B72A37" w:rsidRDefault="00B72A37" w:rsidP="00B72A37">
      <w:pPr>
        <w:autoSpaceDE w:val="0"/>
        <w:autoSpaceDN w:val="0"/>
        <w:adjustRightInd w:val="0"/>
        <w:spacing w:after="0" w:line="240" w:lineRule="auto"/>
        <w:rPr>
          <w:rFonts w:ascii="Verdana" w:hAnsi="Verdana" w:cs="Times New Roman"/>
        </w:rPr>
      </w:pPr>
    </w:p>
    <w:p w:rsidR="00200AB3" w:rsidRPr="001A653E" w:rsidRDefault="00200AB3" w:rsidP="00B72A37">
      <w:pPr>
        <w:autoSpaceDE w:val="0"/>
        <w:autoSpaceDN w:val="0"/>
        <w:adjustRightInd w:val="0"/>
        <w:spacing w:after="0" w:line="240" w:lineRule="auto"/>
        <w:rPr>
          <w:rFonts w:ascii="Verdana" w:hAnsi="Verdana" w:cs="Times New Roman"/>
        </w:rPr>
      </w:pPr>
      <w:r w:rsidRPr="001A653E">
        <w:rPr>
          <w:rFonts w:ascii="Verdana" w:hAnsi="Verdana" w:cs="Times New Roman"/>
        </w:rPr>
        <w:t>Why Am I Telling You All This?</w:t>
      </w:r>
    </w:p>
    <w:p w:rsidR="00CA7335" w:rsidRPr="00B72A37"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Because interest groups and political contributions in all their forms have a significant impact on policy choices.</w:t>
      </w:r>
    </w:p>
    <w:sectPr w:rsidR="00CA7335" w:rsidRPr="00B72A37" w:rsidSect="001A653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04CB62"/>
    <w:lvl w:ilvl="0">
      <w:numFmt w:val="bullet"/>
      <w:lvlText w:val="*"/>
      <w:lvlJc w:val="left"/>
    </w:lvl>
  </w:abstractNum>
  <w:num w:numId="1">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3">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sz w:val="80"/>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72"/>
        </w:rPr>
      </w:lvl>
    </w:lvlOverride>
  </w:num>
  <w:num w:numId="7">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18"/>
        </w:rPr>
      </w:lvl>
    </w:lvlOverride>
  </w:num>
  <w:num w:numId="9">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B3"/>
    <w:rsid w:val="001A653E"/>
    <w:rsid w:val="00200AB3"/>
    <w:rsid w:val="00554541"/>
    <w:rsid w:val="006B6FA2"/>
    <w:rsid w:val="00B72A37"/>
    <w:rsid w:val="00B76628"/>
    <w:rsid w:val="00CA7335"/>
    <w:rsid w:val="00CC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3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3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Kleins</dc:creator>
  <cp:lastModifiedBy>Lori Kilpatrick Klein</cp:lastModifiedBy>
  <cp:revision>2</cp:revision>
  <dcterms:created xsi:type="dcterms:W3CDTF">2012-02-27T21:49:00Z</dcterms:created>
  <dcterms:modified xsi:type="dcterms:W3CDTF">2012-02-27T21:49:00Z</dcterms:modified>
</cp:coreProperties>
</file>